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245</w:t>
      </w:r>
    </w:p>
    <w:p>
      <w:r>
        <w:t>Bundesgericht (BGE), 2016-01-01, FR</w:t>
      </w:r>
    </w:p>
    <w:p>
      <w:r>
        <w:rPr>
          <w:b/>
        </w:rPr>
        <w:t xml:space="preserve">Quelle: </w:t>
      </w:r>
      <w:r>
        <w:t>https://mcp.opencaselaw.ch/entscheid/bge_142 IV 245</w:t>
      </w:r>
    </w:p>
    <w:p>
      <w:r>
        <w:t>FR: ATF 142 IV 245</w:t>
      </w:r>
    </w:p>
    <w:p>
      <w:r>
        <w:t>IT: DTF 142 IV 245</w:t>
      </w:r>
    </w:p>
    <w:p>
      <w:pPr>
        <w:pStyle w:val="Heading2"/>
      </w:pPr>
      <w:r>
        <w:t>Regeste</w:t>
      </w:r>
    </w:p>
    <w:p>
      <w:r>
        <w:t>Regeste Art. 431 Abs. 1 StPO; rechtswidrige Haftbedingungen; Wahl der Art der Wiedergutmachung. Für die Art und den Umfang der Wiedergutmachung nach Art. 429 ff. StPO dürfen die allgemeinen Bestimmungen der Art. 41 ff. OR herangezogen werden (E. 4.1). Die Wahl der Art der Wiedergutmachung obliegt nicht dem Beschuldigten, sondern steht im Ermessen des Richters. Vorliegend haben die kantonalen Richter der rechtswidrigen Haft mit einer Reduktion des Strafmasses Rechnung getragen, obschon der Beschuldigte eine finanzielle Entschädigung beantragte. Diese Art der Wiedergutmachung, welche sich an der in Art. 431 Abs. 2 StPO vorgesehenen Lösung orientiert, ist nicht zu beanstanden (E. 4.3).</w:t>
      </w:r>
    </w:p>
    <w:p>
      <w:pPr>
        <w:pStyle w:val="Heading2"/>
      </w:pPr>
      <w:r>
        <w:t>Erwägungen</w:t>
      </w:r>
    </w:p>
    <w:p>
      <w:r>
        <w:rPr>
          <w:b/>
        </w:rPr>
        <w:t>E. 4</w:t>
      </w:r>
    </w:p>
    <w:p>
      <w:r>
        <w:t>Invoquant les art. 58 CPC , 431 al. 1 CPP et 5 CEDH, le recourant reproche aux autorités précédentes d'avoir réparé la détention illicite qu'il avait subie en procédant à une réduction de peine, alors qu'il avait BGE 142 IV 245 S. 248 conclu à une indemnisation financière. A son avis, les juges ne pouvaient pas s'écarter de ses conclusions.</w:t>
      </w:r>
    </w:p>
    <w:p>
      <w:r>
        <w:rPr>
          <w:b/>
        </w:rPr>
        <w:t>E. 4.1</w:t>
      </w:r>
    </w:p>
    <w:p>
      <w:r>
        <w:t>Aux termes de l' art. 431 al. 1 CPP ,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et les arrêts cités; ATF 140 I 125 consid. 2.1 p. 128). S'agissant du mode et de l'étendue de l'indemnisation fondée sur les art. 429 ss CPP , il n'est pas exclu de s'inspirer des règles générales des art. 41 ss CO (cf. ATF 140 I 246 consid. 2.6 p. 251). Ces dispositions accordent au juge un large pouvoir d'appréciation, que le Tribunal fédéral ne revoit qu'avec retenue (cf. ATF 137 III 303 consid. 2.2.2 p. 309 s.; arrêts 6B_111/2012 du 15 mai 2012 consid. 4.2; 6B_437/2014 du 29 décembre 2014 consid. 3). En vertu de l' art. 43 CO , une réparation en nature n'est pas exclue (HEIERLI/SCHNYDER, in Basler Kommentar, Obligationenrecht, vol. I, 5 e éd. 2011, n° 4 ad art. 43 CO ).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 ATF 133 IV 158 consid. 8 p. 170).</w:t>
      </w:r>
    </w:p>
    <w:p>
      <w:r>
        <w:rPr>
          <w:b/>
        </w:rPr>
        <w:t>E. 4.2</w:t>
      </w:r>
    </w:p>
    <w:p>
      <w:r>
        <w:t>L' art. 5 par. 5 CEDH prévoit que toute personne victime d'une détention dans des conditions contraires aux dispositions de cet article a droit à réparation. Cette disposition n'octroie pas au recourant de garanties plus étendues que celles découlant de l' art. 431 CPP et ne lui accorde en particulier pas le droit de choisir le mode de BGE 142 IV 245 S. 249 dédommagement. La cour cantonale n'a par conséquent pas commis un déni de justice en n'examinant pas la question de l'indemnisation sous cet angle. Par ailleurs, contrairement à ce que soutient le recourant, l' art. 58 CPC ne s'applique pas aux affaires pénales (cf. art. 1 CPC ); il ne peut dès lors rien tirer de cette disposition.</w:t>
      </w:r>
    </w:p>
    <w:p>
      <w:r>
        <w:rPr>
          <w:b/>
        </w:rPr>
        <w:t>E. 4.3</w:t>
      </w:r>
    </w:p>
    <w:p>
      <w:r>
        <w:t>En l'espèce, la cour cantonale a relevé que le recourant devait purger la part ferme de sa peine. La réduction de la peine était donc à même de l'indemniser et c'était en vain qu'il demandait une réparation financière, alors que la restitution de sa liberté constituait le meilleur moyen de réparer le tort en l'espèce. Les conditions de détention ayant été illicites pendant 16 jours, la réduction de 8 jours sur la peine prononcée correspondait à la jurisprudence cantonale et devait être confirmée. Le recourant n'allègue pas que la réduction de peine accordée en réparation de la détention illicite serait insuffisante, ce qui n'apparaît pas être le cas. Il se plaint en revanche que les juges cantonaux n'ont pas donné suite à ses conclusions, qui tendaient à l'allocation d'une indemnité de 1'600 francs. Or, contrairement à ce qu'affirme le recourant, le choix du type d'indemnisation ne lui appartient pas, le mode et l'étendue de la réparation étant laissés à l'appréciation du juge. En l'occurrence, les juges cantonaux n'ont pas excédé leur pouvoir d'appréciation en considérant que la restitution de la liberté constituait le meilleur moyen de réparer le tort subi par le recourant et en décidant ainsi de diminuer la durée de la peine, ce qui correspond à une indemnisation en nature. Ce faisant, ils se sont visiblement inspirés de la solution adoptée par le législateur à l' art. 431 al. 2 CPP en cas de durée excessive de la détention provisoire, qui prévoit en premier lieu l'imputation de la détention sur les sanctions prononcées. Le mode de réparation choisi par la cour cantonale échappe par conséquent à la critique. Enfin, le recourant invoque en vain son droit d'être entendu en relation avec la motivation du jugement attaqué sur cette question. Les considérants du jugement permettent en effet amplement de comprendre les raisons qui ont amené la cour cantonale à choisir ce mode de réparation et le recourant a pu attaquer ce point devant le Tribunal fédéral en toute connaissance de cause.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